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E57BE"/>
    <w:p w14:paraId="566119A6">
      <w:pPr>
        <w:spacing w:line="300" w:lineRule="exact"/>
        <w:jc w:val="center"/>
        <w:rPr>
          <w:rFonts w:ascii="仿宋" w:hAnsi="仿宋" w:eastAsia="仿宋"/>
          <w:b/>
          <w:bCs/>
          <w:sz w:val="28"/>
          <w:szCs w:val="24"/>
        </w:rPr>
      </w:pPr>
      <w:r>
        <w:rPr>
          <w:rFonts w:hint="eastAsia" w:ascii="仿宋" w:hAnsi="仿宋" w:eastAsia="仿宋"/>
          <w:b/>
          <w:bCs/>
          <w:sz w:val="28"/>
          <w:szCs w:val="24"/>
          <w:lang w:val="en-US" w:eastAsia="zh-CN"/>
        </w:rPr>
        <w:t>北滘大美项目装方案评审</w:t>
      </w:r>
      <w:r>
        <w:rPr>
          <w:rFonts w:hint="eastAsia" w:ascii="仿宋" w:hAnsi="仿宋" w:eastAsia="仿宋"/>
          <w:b/>
          <w:bCs/>
          <w:sz w:val="28"/>
          <w:szCs w:val="24"/>
        </w:rPr>
        <w:t>会议纪要</w:t>
      </w:r>
    </w:p>
    <w:tbl>
      <w:tblPr>
        <w:tblStyle w:val="7"/>
        <w:tblW w:w="961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7839"/>
      </w:tblGrid>
      <w:tr w14:paraId="63E5A8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80" w:type="dxa"/>
            <w:shd w:val="clear" w:color="auto" w:fill="auto"/>
          </w:tcPr>
          <w:p w14:paraId="4E613BFB">
            <w:pPr>
              <w:pStyle w:val="6"/>
              <w:snapToGrid w:val="0"/>
              <w:spacing w:before="240" w:beforeAutospacing="0" w:after="0" w:afterAutospacing="0"/>
              <w:rPr>
                <w:rFonts w:ascii="仿宋" w:hAnsi="仿宋" w:eastAsia="仿宋"/>
                <w:szCs w:val="18"/>
              </w:rPr>
            </w:pPr>
            <w:r>
              <w:rPr>
                <w:rFonts w:hint="eastAsia" w:ascii="仿宋" w:hAnsi="仿宋" w:eastAsia="仿宋"/>
                <w:szCs w:val="18"/>
              </w:rPr>
              <w:t xml:space="preserve">主题SUBJECT       </w:t>
            </w:r>
          </w:p>
        </w:tc>
        <w:tc>
          <w:tcPr>
            <w:tcW w:w="7839" w:type="dxa"/>
            <w:shd w:val="clear" w:color="auto" w:fill="auto"/>
          </w:tcPr>
          <w:p w14:paraId="0A16E4DB">
            <w:pPr>
              <w:widowControl/>
              <w:jc w:val="left"/>
              <w:rPr>
                <w:rFonts w:ascii="宋体" w:hAnsi="宋体" w:eastAsia="宋体" w:cs="宋体"/>
                <w:kern w:val="0"/>
                <w:sz w:val="24"/>
                <w:szCs w:val="24"/>
              </w:rPr>
            </w:pPr>
            <w:r>
              <w:rPr>
                <w:rFonts w:hint="eastAsia" w:ascii="仿宋" w:hAnsi="仿宋" w:eastAsia="仿宋"/>
                <w:b/>
                <w:bCs/>
                <w:sz w:val="28"/>
                <w:szCs w:val="24"/>
                <w:lang w:val="en-US" w:eastAsia="zh-CN"/>
              </w:rPr>
              <w:t>人才公寓概念方案评审</w:t>
            </w:r>
            <w:r>
              <w:rPr>
                <w:rFonts w:hint="eastAsia" w:ascii="仿宋" w:hAnsi="仿宋" w:eastAsia="仿宋"/>
                <w:b/>
                <w:bCs/>
                <w:sz w:val="28"/>
                <w:szCs w:val="24"/>
              </w:rPr>
              <w:t>会议纪要</w:t>
            </w:r>
          </w:p>
        </w:tc>
      </w:tr>
      <w:tr w14:paraId="0C81EB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80" w:type="dxa"/>
            <w:shd w:val="clear" w:color="auto" w:fill="auto"/>
          </w:tcPr>
          <w:p w14:paraId="2AD073CB">
            <w:pPr>
              <w:pStyle w:val="6"/>
              <w:snapToGrid w:val="0"/>
              <w:spacing w:before="240" w:beforeAutospacing="0" w:after="0" w:afterAutospacing="0"/>
              <w:rPr>
                <w:rFonts w:ascii="仿宋" w:hAnsi="仿宋" w:eastAsia="仿宋"/>
                <w:szCs w:val="18"/>
              </w:rPr>
            </w:pPr>
            <w:r>
              <w:rPr>
                <w:rFonts w:hint="eastAsia" w:ascii="仿宋" w:hAnsi="仿宋" w:eastAsia="仿宋"/>
                <w:szCs w:val="18"/>
              </w:rPr>
              <w:t>日期DATE</w:t>
            </w:r>
          </w:p>
        </w:tc>
        <w:tc>
          <w:tcPr>
            <w:tcW w:w="7839" w:type="dxa"/>
            <w:shd w:val="clear" w:color="auto" w:fill="auto"/>
          </w:tcPr>
          <w:p w14:paraId="29BB5FAC">
            <w:pPr>
              <w:spacing w:line="300" w:lineRule="exact"/>
              <w:rPr>
                <w:rFonts w:ascii="微软雅黑" w:hAnsi="微软雅黑" w:eastAsia="微软雅黑" w:cs="微软雅黑"/>
                <w:b/>
                <w:color w:val="333333"/>
                <w:szCs w:val="21"/>
              </w:rPr>
            </w:pPr>
            <w:r>
              <w:rPr>
                <w:rFonts w:ascii="仿宋" w:hAnsi="仿宋" w:eastAsia="仿宋"/>
                <w:b/>
                <w:bCs/>
                <w:sz w:val="24"/>
                <w:szCs w:val="24"/>
              </w:rPr>
              <w:t>20</w:t>
            </w:r>
            <w:r>
              <w:rPr>
                <w:rFonts w:hint="eastAsia" w:ascii="仿宋" w:hAnsi="仿宋" w:eastAsia="仿宋"/>
                <w:b/>
                <w:bCs/>
                <w:sz w:val="24"/>
                <w:szCs w:val="24"/>
              </w:rPr>
              <w:t>2</w:t>
            </w:r>
            <w:r>
              <w:rPr>
                <w:rFonts w:hint="eastAsia" w:ascii="仿宋" w:hAnsi="仿宋" w:eastAsia="仿宋"/>
                <w:b/>
                <w:bCs/>
                <w:sz w:val="24"/>
                <w:szCs w:val="24"/>
                <w:lang w:val="en-US" w:eastAsia="zh-CN"/>
              </w:rPr>
              <w:t>5</w:t>
            </w:r>
            <w:r>
              <w:rPr>
                <w:rFonts w:ascii="仿宋" w:hAnsi="仿宋" w:eastAsia="仿宋"/>
                <w:b/>
                <w:bCs/>
                <w:sz w:val="24"/>
                <w:szCs w:val="24"/>
              </w:rPr>
              <w:t>年</w:t>
            </w:r>
            <w:r>
              <w:rPr>
                <w:rFonts w:hint="eastAsia" w:ascii="仿宋" w:hAnsi="仿宋" w:eastAsia="仿宋"/>
                <w:b/>
                <w:bCs/>
                <w:sz w:val="24"/>
                <w:szCs w:val="24"/>
                <w:lang w:val="en-US" w:eastAsia="zh-CN"/>
              </w:rPr>
              <w:t>04</w:t>
            </w:r>
            <w:r>
              <w:rPr>
                <w:rFonts w:ascii="仿宋" w:hAnsi="仿宋" w:eastAsia="仿宋"/>
                <w:b/>
                <w:bCs/>
                <w:sz w:val="24"/>
                <w:szCs w:val="24"/>
              </w:rPr>
              <w:t>月</w:t>
            </w:r>
            <w:r>
              <w:rPr>
                <w:rFonts w:hint="eastAsia" w:ascii="仿宋" w:hAnsi="仿宋" w:eastAsia="仿宋"/>
                <w:b/>
                <w:bCs/>
                <w:sz w:val="24"/>
                <w:szCs w:val="24"/>
                <w:lang w:val="en-US" w:eastAsia="zh-CN"/>
              </w:rPr>
              <w:t>23</w:t>
            </w:r>
            <w:r>
              <w:rPr>
                <w:rFonts w:ascii="仿宋" w:hAnsi="仿宋" w:eastAsia="仿宋"/>
                <w:b/>
                <w:bCs/>
                <w:sz w:val="24"/>
                <w:szCs w:val="24"/>
              </w:rPr>
              <w:t>日</w:t>
            </w:r>
            <w:r>
              <w:rPr>
                <w:rFonts w:hint="eastAsia" w:ascii="仿宋" w:hAnsi="仿宋" w:eastAsia="仿宋"/>
                <w:b/>
                <w:bCs/>
                <w:sz w:val="24"/>
                <w:szCs w:val="24"/>
              </w:rPr>
              <w:t xml:space="preserve"> </w:t>
            </w:r>
            <w:r>
              <w:rPr>
                <w:rFonts w:ascii="仿宋" w:hAnsi="仿宋" w:eastAsia="仿宋"/>
                <w:b/>
                <w:bCs/>
                <w:sz w:val="24"/>
                <w:szCs w:val="24"/>
              </w:rPr>
              <w:t>星期</w:t>
            </w:r>
            <w:r>
              <w:rPr>
                <w:rFonts w:hint="eastAsia" w:ascii="仿宋" w:hAnsi="仿宋" w:eastAsia="仿宋"/>
                <w:b/>
                <w:bCs/>
                <w:sz w:val="24"/>
                <w:szCs w:val="24"/>
                <w:lang w:val="en-US" w:eastAsia="zh-CN"/>
              </w:rPr>
              <w:t>四</w:t>
            </w:r>
            <w:r>
              <w:rPr>
                <w:rFonts w:hint="eastAsia" w:ascii="仿宋" w:hAnsi="仿宋" w:eastAsia="仿宋"/>
                <w:b/>
                <w:bCs/>
                <w:sz w:val="24"/>
                <w:szCs w:val="24"/>
              </w:rPr>
              <w:t xml:space="preserve"> </w:t>
            </w:r>
            <w:r>
              <w:rPr>
                <w:rFonts w:hint="eastAsia" w:ascii="仿宋" w:hAnsi="仿宋" w:eastAsia="仿宋"/>
                <w:b/>
                <w:bCs/>
                <w:sz w:val="24"/>
                <w:szCs w:val="24"/>
                <w:lang w:val="en-US" w:eastAsia="zh-CN"/>
              </w:rPr>
              <w:t>14</w:t>
            </w:r>
            <w:r>
              <w:rPr>
                <w:rFonts w:hint="eastAsia" w:ascii="仿宋" w:hAnsi="仿宋" w:eastAsia="仿宋"/>
                <w:b/>
                <w:bCs/>
                <w:sz w:val="24"/>
                <w:szCs w:val="24"/>
              </w:rPr>
              <w:t>：</w:t>
            </w:r>
            <w:r>
              <w:rPr>
                <w:rFonts w:hint="eastAsia" w:ascii="仿宋" w:hAnsi="仿宋" w:eastAsia="仿宋"/>
                <w:b/>
                <w:bCs/>
                <w:sz w:val="24"/>
                <w:szCs w:val="24"/>
                <w:lang w:val="en-US" w:eastAsia="zh-CN"/>
              </w:rPr>
              <w:t>3</w:t>
            </w:r>
            <w:r>
              <w:rPr>
                <w:rFonts w:hint="eastAsia" w:ascii="仿宋" w:hAnsi="仿宋" w:eastAsia="仿宋"/>
                <w:b/>
                <w:bCs/>
                <w:sz w:val="24"/>
                <w:szCs w:val="24"/>
              </w:rPr>
              <w:t>0-</w:t>
            </w:r>
            <w:r>
              <w:rPr>
                <w:rFonts w:hint="eastAsia" w:ascii="仿宋" w:hAnsi="仿宋" w:eastAsia="仿宋"/>
                <w:b/>
                <w:bCs/>
                <w:sz w:val="24"/>
                <w:szCs w:val="24"/>
                <w:lang w:val="en-US" w:eastAsia="zh-CN"/>
              </w:rPr>
              <w:t>15</w:t>
            </w:r>
            <w:r>
              <w:rPr>
                <w:rFonts w:hint="eastAsia" w:ascii="仿宋" w:hAnsi="仿宋" w:eastAsia="仿宋"/>
                <w:b/>
                <w:bCs/>
                <w:sz w:val="24"/>
                <w:szCs w:val="24"/>
              </w:rPr>
              <w:t>：</w:t>
            </w:r>
            <w:r>
              <w:rPr>
                <w:rFonts w:hint="eastAsia" w:ascii="仿宋" w:hAnsi="仿宋" w:eastAsia="仿宋"/>
                <w:b/>
                <w:bCs/>
                <w:sz w:val="24"/>
                <w:szCs w:val="24"/>
                <w:lang w:val="en-US" w:eastAsia="zh-CN"/>
              </w:rPr>
              <w:t>3</w:t>
            </w:r>
            <w:r>
              <w:rPr>
                <w:rFonts w:hint="eastAsia" w:ascii="仿宋" w:hAnsi="仿宋" w:eastAsia="仿宋"/>
                <w:b/>
                <w:bCs/>
                <w:sz w:val="24"/>
                <w:szCs w:val="24"/>
              </w:rPr>
              <w:t>0</w:t>
            </w:r>
          </w:p>
        </w:tc>
      </w:tr>
      <w:tr w14:paraId="588FC9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780" w:type="dxa"/>
            <w:shd w:val="clear" w:color="auto" w:fill="auto"/>
          </w:tcPr>
          <w:p w14:paraId="6EF7EBB5">
            <w:pPr>
              <w:pStyle w:val="6"/>
              <w:snapToGrid w:val="0"/>
              <w:spacing w:before="240" w:beforeAutospacing="0" w:after="0" w:afterAutospacing="0"/>
              <w:rPr>
                <w:rFonts w:ascii="仿宋" w:hAnsi="仿宋" w:eastAsia="仿宋"/>
                <w:szCs w:val="18"/>
              </w:rPr>
            </w:pPr>
            <w:r>
              <w:rPr>
                <w:rFonts w:hint="eastAsia" w:ascii="仿宋" w:hAnsi="仿宋" w:eastAsia="仿宋"/>
                <w:szCs w:val="18"/>
              </w:rPr>
              <w:t>地点ADDR</w:t>
            </w:r>
          </w:p>
        </w:tc>
        <w:tc>
          <w:tcPr>
            <w:tcW w:w="7839" w:type="dxa"/>
            <w:shd w:val="clear" w:color="auto" w:fill="auto"/>
          </w:tcPr>
          <w:p w14:paraId="2D2BBC93">
            <w:pPr>
              <w:spacing w:line="300" w:lineRule="exact"/>
              <w:rPr>
                <w:rFonts w:hint="default" w:ascii="微软雅黑" w:hAnsi="微软雅黑" w:eastAsia="仿宋" w:cs="微软雅黑"/>
                <w:b/>
                <w:color w:val="333333"/>
                <w:szCs w:val="21"/>
                <w:lang w:val="en-US" w:eastAsia="zh-CN"/>
              </w:rPr>
            </w:pPr>
            <w:r>
              <w:rPr>
                <w:rFonts w:hint="eastAsia" w:ascii="仿宋" w:hAnsi="仿宋" w:eastAsia="仿宋"/>
                <w:b/>
                <w:bCs/>
                <w:sz w:val="24"/>
                <w:szCs w:val="24"/>
                <w:lang w:val="en-US" w:eastAsia="zh-CN"/>
              </w:rPr>
              <w:t>线上会议</w:t>
            </w:r>
          </w:p>
        </w:tc>
      </w:tr>
      <w:tr w14:paraId="307F0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780" w:type="dxa"/>
            <w:shd w:val="clear" w:color="auto" w:fill="auto"/>
          </w:tcPr>
          <w:p w14:paraId="19ABDCE5">
            <w:pPr>
              <w:pStyle w:val="6"/>
              <w:snapToGrid w:val="0"/>
              <w:spacing w:before="240" w:beforeAutospacing="0" w:after="0" w:afterAutospacing="0"/>
              <w:rPr>
                <w:rFonts w:ascii="仿宋" w:hAnsi="仿宋" w:eastAsia="仿宋"/>
                <w:szCs w:val="18"/>
              </w:rPr>
            </w:pPr>
            <w:r>
              <w:rPr>
                <w:rFonts w:hint="eastAsia" w:ascii="仿宋" w:hAnsi="仿宋" w:eastAsia="仿宋"/>
                <w:szCs w:val="18"/>
              </w:rPr>
              <w:t>参会人ATTENDEE</w:t>
            </w:r>
          </w:p>
        </w:tc>
        <w:tc>
          <w:tcPr>
            <w:tcW w:w="7839" w:type="dxa"/>
            <w:shd w:val="clear" w:color="auto" w:fill="auto"/>
          </w:tcPr>
          <w:p w14:paraId="1752DCDD">
            <w:pPr>
              <w:spacing w:line="300" w:lineRule="exact"/>
              <w:rPr>
                <w:rFonts w:hint="default" w:ascii="仿宋" w:hAnsi="仿宋" w:eastAsia="仿宋"/>
                <w:b/>
                <w:bCs/>
                <w:sz w:val="24"/>
                <w:szCs w:val="24"/>
                <w:lang w:val="en-US" w:eastAsia="zh-CN"/>
              </w:rPr>
            </w:pPr>
            <w:r>
              <w:rPr>
                <w:rFonts w:hint="eastAsia" w:ascii="仿宋" w:hAnsi="仿宋" w:eastAsia="仿宋"/>
                <w:b/>
                <w:bCs/>
                <w:sz w:val="24"/>
                <w:szCs w:val="24"/>
              </w:rPr>
              <w:t>区域公司：</w:t>
            </w:r>
            <w:r>
              <w:rPr>
                <w:rFonts w:hint="eastAsia" w:ascii="仿宋" w:hAnsi="仿宋" w:eastAsia="仿宋"/>
                <w:b/>
                <w:bCs/>
                <w:sz w:val="24"/>
                <w:szCs w:val="24"/>
                <w:lang w:val="en-US" w:eastAsia="zh-CN"/>
              </w:rPr>
              <w:t>黄名辰</w:t>
            </w:r>
          </w:p>
          <w:p w14:paraId="0EF89F75">
            <w:pPr>
              <w:spacing w:line="300" w:lineRule="exact"/>
              <w:rPr>
                <w:rFonts w:hint="default" w:ascii="仿宋" w:hAnsi="仿宋" w:eastAsia="仿宋"/>
                <w:b/>
                <w:bCs/>
                <w:sz w:val="24"/>
                <w:szCs w:val="24"/>
                <w:lang w:val="en-US" w:eastAsia="zh-CN"/>
              </w:rPr>
            </w:pPr>
            <w:r>
              <w:rPr>
                <w:rFonts w:hint="eastAsia" w:ascii="仿宋" w:hAnsi="仿宋" w:eastAsia="仿宋"/>
                <w:b/>
                <w:bCs/>
                <w:sz w:val="24"/>
                <w:szCs w:val="24"/>
              </w:rPr>
              <w:t>设计单位：</w:t>
            </w:r>
            <w:r>
              <w:rPr>
                <w:rFonts w:hint="eastAsia" w:ascii="仿宋" w:hAnsi="仿宋" w:eastAsia="仿宋"/>
                <w:b/>
                <w:bCs/>
                <w:sz w:val="24"/>
                <w:szCs w:val="24"/>
                <w:lang w:val="en-US" w:eastAsia="zh-CN"/>
              </w:rPr>
              <w:t>绿城联合设计、李兆峰</w:t>
            </w:r>
          </w:p>
          <w:p w14:paraId="381992B4">
            <w:pPr>
              <w:spacing w:line="300" w:lineRule="exact"/>
              <w:rPr>
                <w:rFonts w:hint="default" w:ascii="仿宋" w:hAnsi="仿宋" w:eastAsia="仿宋"/>
                <w:b/>
                <w:bCs/>
                <w:sz w:val="24"/>
                <w:szCs w:val="24"/>
                <w:lang w:val="en-US" w:eastAsia="zh-CN"/>
              </w:rPr>
            </w:pPr>
          </w:p>
        </w:tc>
      </w:tr>
      <w:tr w14:paraId="50914B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780" w:type="dxa"/>
            <w:shd w:val="clear" w:color="auto" w:fill="auto"/>
          </w:tcPr>
          <w:p w14:paraId="61C27AAB">
            <w:pPr>
              <w:pStyle w:val="6"/>
              <w:snapToGrid w:val="0"/>
              <w:spacing w:before="240" w:beforeAutospacing="0" w:after="0" w:afterAutospacing="0"/>
              <w:rPr>
                <w:rFonts w:ascii="仿宋" w:hAnsi="仿宋" w:eastAsia="仿宋"/>
                <w:szCs w:val="18"/>
              </w:rPr>
            </w:pPr>
            <w:r>
              <w:rPr>
                <w:rFonts w:ascii="仿宋" w:hAnsi="仿宋" w:eastAsia="仿宋"/>
                <w:szCs w:val="18"/>
              </w:rPr>
              <w:t>记录人</w:t>
            </w:r>
            <w:r>
              <w:rPr>
                <w:rFonts w:hint="eastAsia" w:ascii="仿宋" w:hAnsi="仿宋" w:eastAsia="仿宋"/>
                <w:szCs w:val="18"/>
              </w:rPr>
              <w:t>NOTER</w:t>
            </w:r>
          </w:p>
        </w:tc>
        <w:tc>
          <w:tcPr>
            <w:tcW w:w="7839" w:type="dxa"/>
            <w:shd w:val="clear" w:color="auto" w:fill="auto"/>
          </w:tcPr>
          <w:p w14:paraId="08DE84FE">
            <w:pPr>
              <w:spacing w:line="300" w:lineRule="exact"/>
              <w:jc w:val="left"/>
              <w:rPr>
                <w:rFonts w:hint="default" w:ascii="微软雅黑" w:hAnsi="微软雅黑" w:eastAsia="微软雅黑" w:cs="微软雅黑"/>
                <w:b/>
                <w:color w:val="333333"/>
                <w:sz w:val="21"/>
                <w:szCs w:val="21"/>
                <w:lang w:val="en-US" w:eastAsia="zh-CN"/>
              </w:rPr>
            </w:pPr>
            <w:r>
              <w:rPr>
                <w:rFonts w:hint="eastAsia" w:ascii="仿宋" w:hAnsi="仿宋" w:eastAsia="仿宋"/>
                <w:b/>
                <w:bCs/>
                <w:sz w:val="24"/>
                <w:szCs w:val="24"/>
                <w:lang w:val="en-US" w:eastAsia="zh-CN"/>
              </w:rPr>
              <w:t>李兆峰</w:t>
            </w:r>
          </w:p>
        </w:tc>
      </w:tr>
    </w:tbl>
    <w:p w14:paraId="479CE057">
      <w:pPr>
        <w:spacing w:line="300" w:lineRule="exact"/>
        <w:ind w:firstLine="560" w:firstLineChars="200"/>
        <w:rPr>
          <w:rFonts w:ascii="仿宋" w:hAnsi="仿宋" w:eastAsia="仿宋"/>
          <w:sz w:val="28"/>
          <w:szCs w:val="28"/>
        </w:rPr>
      </w:pPr>
    </w:p>
    <w:p w14:paraId="0D2CCFC7">
      <w:pPr>
        <w:spacing w:line="300" w:lineRule="exact"/>
        <w:ind w:firstLine="560" w:firstLineChars="200"/>
        <w:rPr>
          <w:rFonts w:ascii="仿宋" w:hAnsi="仿宋" w:eastAsia="仿宋"/>
          <w:sz w:val="28"/>
          <w:szCs w:val="28"/>
        </w:rPr>
      </w:pPr>
      <w:r>
        <w:rPr>
          <w:rFonts w:ascii="仿宋" w:hAnsi="仿宋" w:eastAsia="仿宋"/>
          <w:sz w:val="28"/>
          <w:szCs w:val="28"/>
        </w:rPr>
        <w:t>评审会</w:t>
      </w:r>
      <w:r>
        <w:rPr>
          <w:rFonts w:hint="eastAsia" w:ascii="仿宋" w:hAnsi="仿宋" w:eastAsia="仿宋"/>
          <w:sz w:val="28"/>
          <w:szCs w:val="28"/>
        </w:rPr>
        <w:t>组织区域、片区、设计专业各条线，</w:t>
      </w:r>
      <w:r>
        <w:rPr>
          <w:rFonts w:ascii="仿宋" w:hAnsi="仿宋" w:eastAsia="仿宋"/>
          <w:sz w:val="28"/>
          <w:szCs w:val="28"/>
        </w:rPr>
        <w:t>对</w:t>
      </w:r>
      <w:r>
        <w:rPr>
          <w:rFonts w:hint="eastAsia" w:ascii="仿宋" w:hAnsi="仿宋" w:eastAsia="仿宋"/>
          <w:sz w:val="28"/>
          <w:szCs w:val="28"/>
        </w:rPr>
        <w:t>方案</w:t>
      </w:r>
      <w:r>
        <w:rPr>
          <w:rFonts w:ascii="仿宋" w:hAnsi="仿宋" w:eastAsia="仿宋"/>
          <w:sz w:val="28"/>
          <w:szCs w:val="28"/>
        </w:rPr>
        <w:t>进行了评审</w:t>
      </w:r>
      <w:r>
        <w:rPr>
          <w:rFonts w:hint="eastAsia" w:ascii="仿宋" w:hAnsi="仿宋" w:eastAsia="仿宋"/>
          <w:sz w:val="28"/>
          <w:szCs w:val="28"/>
        </w:rPr>
        <w:t>，形成会议纪要如下：</w:t>
      </w:r>
    </w:p>
    <w:p w14:paraId="1FDAEDE7">
      <w:pPr>
        <w:numPr>
          <w:ilvl w:val="0"/>
          <w:numId w:val="0"/>
        </w:numPr>
        <w:spacing w:line="360" w:lineRule="auto"/>
        <w:ind w:leftChars="0"/>
        <w:jc w:val="both"/>
      </w:pPr>
    </w:p>
    <w:p w14:paraId="1DA6740D">
      <w:pPr>
        <w:numPr>
          <w:ilvl w:val="0"/>
          <w:numId w:val="0"/>
        </w:numPr>
        <w:spacing w:line="360" w:lineRule="auto"/>
        <w:ind w:leftChars="0"/>
        <w:jc w:val="both"/>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户型部分：</w:t>
      </w:r>
    </w:p>
    <w:p w14:paraId="7A1AB68B">
      <w:pPr>
        <w:numPr>
          <w:ilvl w:val="0"/>
          <w:numId w:val="0"/>
        </w:numPr>
        <w:spacing w:line="360" w:lineRule="auto"/>
        <w:ind w:leftChars="0"/>
        <w:jc w:val="both"/>
        <w:rPr>
          <w:rFonts w:hint="default" w:ascii="仿宋" w:hAnsi="仿宋" w:eastAsia="仿宋"/>
          <w:b w:val="0"/>
          <w:bCs w:val="0"/>
          <w:sz w:val="28"/>
          <w:szCs w:val="28"/>
          <w:lang w:val="en-US" w:eastAsia="zh-CN"/>
        </w:rPr>
      </w:pPr>
      <w:r>
        <w:rPr>
          <w:rFonts w:hint="eastAsia" w:ascii="仿宋" w:hAnsi="仿宋" w:eastAsia="仿宋"/>
          <w:b w:val="0"/>
          <w:bCs w:val="0"/>
          <w:sz w:val="28"/>
          <w:szCs w:val="28"/>
          <w:lang w:val="en-US" w:eastAsia="zh-CN"/>
        </w:rPr>
        <w:t>1.户型客群定位需结合营销给到的市场分析及产品定位报告来综合考量。客户群里为周边企业员工及华东学校家长伴读群体为主。</w:t>
      </w:r>
    </w:p>
    <w:p w14:paraId="4B397665">
      <w:pPr>
        <w:numPr>
          <w:ilvl w:val="0"/>
          <w:numId w:val="0"/>
        </w:numPr>
        <w:spacing w:line="360" w:lineRule="auto"/>
        <w:ind w:leftChars="0"/>
        <w:jc w:val="both"/>
        <w:rPr>
          <w:rFonts w:hint="default" w:ascii="仿宋" w:hAnsi="仿宋" w:eastAsia="仿宋"/>
          <w:b/>
          <w:bCs/>
          <w:sz w:val="28"/>
          <w:szCs w:val="28"/>
          <w:lang w:val="en-US" w:eastAsia="zh-CN"/>
        </w:rPr>
      </w:pPr>
      <w:r>
        <w:drawing>
          <wp:inline distT="0" distB="0" distL="114300" distR="114300">
            <wp:extent cx="6188710" cy="3465195"/>
            <wp:effectExtent l="0" t="0" r="2540"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6188710" cy="3465195"/>
                    </a:xfrm>
                    <a:prstGeom prst="rect">
                      <a:avLst/>
                    </a:prstGeom>
                    <a:noFill/>
                    <a:ln>
                      <a:noFill/>
                    </a:ln>
                  </pic:spPr>
                </pic:pic>
              </a:graphicData>
            </a:graphic>
          </wp:inline>
        </w:drawing>
      </w:r>
    </w:p>
    <w:p w14:paraId="120AD883">
      <w:pPr>
        <w:numPr>
          <w:ilvl w:val="0"/>
          <w:numId w:val="1"/>
        </w:numPr>
        <w:spacing w:line="360" w:lineRule="auto"/>
        <w:ind w:leftChars="0"/>
        <w:jc w:val="both"/>
        <w:rPr>
          <w:rFonts w:hint="eastAsia" w:ascii="仿宋" w:hAnsi="仿宋" w:eastAsia="仿宋"/>
          <w:b w:val="0"/>
          <w:bCs w:val="0"/>
          <w:sz w:val="28"/>
          <w:szCs w:val="28"/>
          <w:lang w:val="en-US" w:eastAsia="zh-CN"/>
        </w:rPr>
      </w:pPr>
      <w:r>
        <w:rPr>
          <w:rFonts w:hint="eastAsia" w:ascii="仿宋" w:hAnsi="仿宋" w:eastAsia="仿宋"/>
          <w:b w:val="0"/>
          <w:bCs w:val="0"/>
          <w:sz w:val="28"/>
          <w:szCs w:val="28"/>
          <w:lang w:val="en-US" w:eastAsia="zh-CN"/>
        </w:rPr>
        <w:t>人才公寓需按照商品房逻辑来考虑，明确户型通燃气的功能，平面方案向方案二方向推进，保留厨房区域及燃气灶功能。</w:t>
      </w:r>
    </w:p>
    <w:p w14:paraId="1009AB08">
      <w:pPr>
        <w:numPr>
          <w:numId w:val="0"/>
        </w:numPr>
        <w:spacing w:line="360" w:lineRule="auto"/>
        <w:jc w:val="both"/>
        <w:rPr>
          <w:rFonts w:hint="eastAsia" w:ascii="仿宋" w:hAnsi="仿宋" w:eastAsia="仿宋"/>
          <w:b w:val="0"/>
          <w:bCs w:val="0"/>
          <w:sz w:val="28"/>
          <w:szCs w:val="28"/>
          <w:lang w:val="en-US" w:eastAsia="zh-CN"/>
        </w:rPr>
      </w:pPr>
      <w:r>
        <w:drawing>
          <wp:inline distT="0" distB="0" distL="114300" distR="114300">
            <wp:extent cx="1366520" cy="1875790"/>
            <wp:effectExtent l="0" t="0" r="5080" b="1016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
                    <a:stretch>
                      <a:fillRect/>
                    </a:stretch>
                  </pic:blipFill>
                  <pic:spPr>
                    <a:xfrm>
                      <a:off x="0" y="0"/>
                      <a:ext cx="1366520" cy="1875790"/>
                    </a:xfrm>
                    <a:prstGeom prst="rect">
                      <a:avLst/>
                    </a:prstGeom>
                    <a:noFill/>
                    <a:ln>
                      <a:noFill/>
                    </a:ln>
                  </pic:spPr>
                </pic:pic>
              </a:graphicData>
            </a:graphic>
          </wp:inline>
        </w:drawing>
      </w:r>
      <w:r>
        <w:drawing>
          <wp:inline distT="0" distB="0" distL="114300" distR="114300">
            <wp:extent cx="1059815" cy="1873885"/>
            <wp:effectExtent l="0" t="0" r="6985"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1059815" cy="1873885"/>
                    </a:xfrm>
                    <a:prstGeom prst="rect">
                      <a:avLst/>
                    </a:prstGeom>
                    <a:noFill/>
                    <a:ln>
                      <a:noFill/>
                    </a:ln>
                  </pic:spPr>
                </pic:pic>
              </a:graphicData>
            </a:graphic>
          </wp:inline>
        </w:drawing>
      </w:r>
      <w:r>
        <w:drawing>
          <wp:inline distT="0" distB="0" distL="114300" distR="114300">
            <wp:extent cx="1318260" cy="1913255"/>
            <wp:effectExtent l="0" t="0" r="15240" b="1079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a:stretch>
                      <a:fillRect/>
                    </a:stretch>
                  </pic:blipFill>
                  <pic:spPr>
                    <a:xfrm>
                      <a:off x="0" y="0"/>
                      <a:ext cx="1318260" cy="1913255"/>
                    </a:xfrm>
                    <a:prstGeom prst="rect">
                      <a:avLst/>
                    </a:prstGeom>
                    <a:noFill/>
                    <a:ln>
                      <a:noFill/>
                    </a:ln>
                  </pic:spPr>
                </pic:pic>
              </a:graphicData>
            </a:graphic>
          </wp:inline>
        </w:drawing>
      </w:r>
      <w:r>
        <w:drawing>
          <wp:inline distT="0" distB="0" distL="114300" distR="114300">
            <wp:extent cx="1624965" cy="1941195"/>
            <wp:effectExtent l="0" t="0" r="13335" b="190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9"/>
                    <a:stretch>
                      <a:fillRect/>
                    </a:stretch>
                  </pic:blipFill>
                  <pic:spPr>
                    <a:xfrm>
                      <a:off x="0" y="0"/>
                      <a:ext cx="1624965" cy="1941195"/>
                    </a:xfrm>
                    <a:prstGeom prst="rect">
                      <a:avLst/>
                    </a:prstGeom>
                    <a:noFill/>
                    <a:ln>
                      <a:noFill/>
                    </a:ln>
                  </pic:spPr>
                </pic:pic>
              </a:graphicData>
            </a:graphic>
          </wp:inline>
        </w:drawing>
      </w:r>
    </w:p>
    <w:p w14:paraId="553E7697">
      <w:pPr>
        <w:numPr>
          <w:ilvl w:val="0"/>
          <w:numId w:val="1"/>
        </w:numPr>
        <w:spacing w:line="360" w:lineRule="auto"/>
        <w:ind w:left="0" w:leftChars="0" w:firstLine="0" w:firstLineChars="0"/>
        <w:jc w:val="both"/>
        <w:rPr>
          <w:rFonts w:hint="default" w:ascii="仿宋" w:hAnsi="仿宋" w:eastAsia="仿宋"/>
          <w:b w:val="0"/>
          <w:bCs w:val="0"/>
          <w:sz w:val="28"/>
          <w:szCs w:val="28"/>
          <w:lang w:val="en-US" w:eastAsia="zh-CN"/>
        </w:rPr>
      </w:pPr>
      <w:r>
        <w:rPr>
          <w:rFonts w:hint="eastAsia" w:ascii="仿宋" w:hAnsi="仿宋" w:eastAsia="仿宋"/>
          <w:b w:val="0"/>
          <w:bCs w:val="0"/>
          <w:sz w:val="28"/>
          <w:szCs w:val="28"/>
          <w:lang w:val="en-US" w:eastAsia="zh-CN"/>
        </w:rPr>
        <w:t>结合通燃气功能，需在平面中考虑排烟管道的合理位置。</w:t>
      </w:r>
    </w:p>
    <w:p w14:paraId="70909395">
      <w:pPr>
        <w:numPr>
          <w:ilvl w:val="0"/>
          <w:numId w:val="0"/>
        </w:numPr>
        <w:spacing w:line="360" w:lineRule="auto"/>
        <w:ind w:leftChars="0"/>
        <w:jc w:val="both"/>
        <w:rPr>
          <w:rFonts w:hint="default" w:ascii="仿宋" w:hAnsi="仿宋" w:eastAsia="仿宋"/>
          <w:b w:val="0"/>
          <w:bCs w:val="0"/>
          <w:sz w:val="28"/>
          <w:szCs w:val="28"/>
          <w:lang w:val="en-US" w:eastAsia="zh-CN"/>
        </w:rPr>
      </w:pPr>
      <w:r>
        <w:rPr>
          <w:rFonts w:hint="eastAsia" w:ascii="仿宋" w:hAnsi="仿宋" w:eastAsia="仿宋"/>
          <w:b w:val="0"/>
          <w:bCs w:val="0"/>
          <w:sz w:val="28"/>
          <w:szCs w:val="28"/>
          <w:lang w:val="en-US" w:eastAsia="zh-CN"/>
        </w:rPr>
        <w:t>4.人才公寓为精装交付，但不考虑软装及柜体交付，也不需要做展示样板间。</w:t>
      </w:r>
    </w:p>
    <w:p w14:paraId="6E88C27B">
      <w:pPr>
        <w:numPr>
          <w:ilvl w:val="0"/>
          <w:numId w:val="0"/>
        </w:numPr>
        <w:spacing w:line="360" w:lineRule="auto"/>
        <w:ind w:leftChars="0"/>
        <w:jc w:val="both"/>
        <w:rPr>
          <w:rFonts w:hint="default" w:ascii="仿宋" w:hAnsi="仿宋" w:eastAsia="仿宋"/>
          <w:b w:val="0"/>
          <w:bCs w:val="0"/>
          <w:sz w:val="28"/>
          <w:szCs w:val="28"/>
          <w:lang w:val="en-US" w:eastAsia="zh-CN"/>
        </w:rPr>
      </w:pPr>
      <w:r>
        <w:rPr>
          <w:rFonts w:hint="eastAsia" w:ascii="仿宋" w:hAnsi="仿宋" w:eastAsia="仿宋"/>
          <w:b w:val="0"/>
          <w:bCs w:val="0"/>
          <w:sz w:val="28"/>
          <w:szCs w:val="28"/>
          <w:lang w:val="en-US" w:eastAsia="zh-CN"/>
        </w:rPr>
        <w:t>5.设计需综合考虑成本造价限额，进行限价设计，硬装装修标准为800元/㎡，预留10%的利润额。</w:t>
      </w:r>
    </w:p>
    <w:p w14:paraId="5290D784">
      <w:pPr>
        <w:numPr>
          <w:ilvl w:val="0"/>
          <w:numId w:val="0"/>
        </w:numPr>
        <w:spacing w:line="360" w:lineRule="auto"/>
        <w:ind w:leftChars="0"/>
        <w:jc w:val="both"/>
        <w:rPr>
          <w:rFonts w:hint="eastAsia" w:ascii="仿宋" w:hAnsi="仿宋" w:eastAsia="仿宋"/>
          <w:b w:val="0"/>
          <w:bCs w:val="0"/>
          <w:sz w:val="28"/>
          <w:szCs w:val="28"/>
          <w:lang w:val="en-US" w:eastAsia="zh-CN"/>
        </w:rPr>
      </w:pPr>
      <w:r>
        <w:rPr>
          <w:rFonts w:hint="eastAsia" w:ascii="仿宋" w:hAnsi="仿宋" w:eastAsia="仿宋"/>
          <w:b w:val="0"/>
          <w:bCs w:val="0"/>
          <w:sz w:val="28"/>
          <w:szCs w:val="28"/>
          <w:lang w:val="en-US" w:eastAsia="zh-CN"/>
        </w:rPr>
        <w:t>6.室内精装平面布局需在建筑布局中进行尺寸上的优化，不要调整整体的格局，并按照建筑平面中的功能落位进行尺寸优化。</w:t>
      </w:r>
    </w:p>
    <w:p w14:paraId="35337A9F">
      <w:pPr>
        <w:numPr>
          <w:ilvl w:val="0"/>
          <w:numId w:val="0"/>
        </w:numPr>
        <w:spacing w:line="360" w:lineRule="auto"/>
        <w:ind w:leftChars="0"/>
        <w:jc w:val="both"/>
        <w:rPr>
          <w:rFonts w:hint="default" w:ascii="仿宋" w:hAnsi="仿宋" w:eastAsia="仿宋"/>
          <w:b w:val="0"/>
          <w:bCs w:val="0"/>
          <w:sz w:val="28"/>
          <w:szCs w:val="28"/>
          <w:lang w:val="en-US" w:eastAsia="zh-CN"/>
        </w:rPr>
      </w:pPr>
      <w:r>
        <w:rPr>
          <w:rFonts w:hint="eastAsia" w:ascii="仿宋" w:hAnsi="仿宋" w:eastAsia="仿宋"/>
          <w:b w:val="0"/>
          <w:bCs w:val="0"/>
          <w:sz w:val="28"/>
          <w:szCs w:val="28"/>
          <w:lang w:val="en-US" w:eastAsia="zh-CN"/>
        </w:rPr>
        <w:t>7.室内精装需注意建筑结构立柱及管道位置，确保功能落位的可实施性。</w:t>
      </w:r>
    </w:p>
    <w:p w14:paraId="093843DA">
      <w:pPr>
        <w:numPr>
          <w:ilvl w:val="0"/>
          <w:numId w:val="0"/>
        </w:numPr>
        <w:spacing w:line="360" w:lineRule="auto"/>
        <w:ind w:leftChars="0"/>
        <w:jc w:val="both"/>
        <w:rPr>
          <w:rFonts w:hint="default" w:ascii="仿宋" w:hAnsi="仿宋" w:eastAsia="仿宋"/>
          <w:b w:val="0"/>
          <w:bCs w:val="0"/>
          <w:sz w:val="28"/>
          <w:szCs w:val="28"/>
          <w:lang w:val="en-US" w:eastAsia="zh-CN"/>
        </w:rPr>
      </w:pPr>
      <w:r>
        <w:rPr>
          <w:rFonts w:hint="eastAsia" w:ascii="仿宋" w:hAnsi="仿宋" w:eastAsia="仿宋"/>
          <w:b w:val="0"/>
          <w:bCs w:val="0"/>
          <w:sz w:val="28"/>
          <w:szCs w:val="28"/>
          <w:lang w:val="en-US" w:eastAsia="zh-CN"/>
        </w:rPr>
        <w:t>8.公共区域硬装设计需进行限价设计，硬装装修标准为首层2500元/㎡。地下单元大堂为1700元/㎡，标准层为1200元/㎡。</w:t>
      </w:r>
    </w:p>
    <w:p w14:paraId="20F92ECC">
      <w:pPr>
        <w:numPr>
          <w:ilvl w:val="0"/>
          <w:numId w:val="0"/>
        </w:numPr>
        <w:spacing w:line="360" w:lineRule="auto"/>
        <w:ind w:leftChars="0"/>
        <w:jc w:val="both"/>
        <w:rPr>
          <w:rFonts w:hint="default" w:ascii="仿宋" w:hAnsi="仿宋" w:eastAsia="仿宋"/>
          <w:b w:val="0"/>
          <w:bCs w:val="0"/>
          <w:sz w:val="28"/>
          <w:szCs w:val="28"/>
          <w:lang w:val="en-US" w:eastAsia="zh-CN"/>
        </w:rPr>
      </w:pPr>
      <w:r>
        <w:rPr>
          <w:rFonts w:hint="eastAsia" w:ascii="仿宋" w:hAnsi="仿宋" w:eastAsia="仿宋"/>
          <w:b w:val="0"/>
          <w:bCs w:val="0"/>
          <w:sz w:val="28"/>
          <w:szCs w:val="28"/>
          <w:lang w:val="en-US" w:eastAsia="zh-CN"/>
        </w:rPr>
        <w:t>9.人才公寓目前建筑配置无架空层，精装不需要考虑架空层功能。</w:t>
      </w:r>
      <w:bookmarkStart w:id="0" w:name="_GoBack"/>
      <w:bookmarkEnd w:id="0"/>
    </w:p>
    <w:p w14:paraId="17667335">
      <w:pPr>
        <w:numPr>
          <w:ilvl w:val="0"/>
          <w:numId w:val="0"/>
        </w:numPr>
        <w:spacing w:line="360" w:lineRule="auto"/>
        <w:ind w:leftChars="0"/>
        <w:jc w:val="both"/>
        <w:rPr>
          <w:rFonts w:hint="default"/>
          <w:lang w:val="en-US" w:eastAsia="zh-CN"/>
        </w:rPr>
      </w:pPr>
    </w:p>
    <w:p w14:paraId="135BA4BC">
      <w:pPr>
        <w:numPr>
          <w:ilvl w:val="0"/>
          <w:numId w:val="0"/>
        </w:numPr>
        <w:spacing w:line="360" w:lineRule="auto"/>
        <w:jc w:val="both"/>
        <w:rPr>
          <w:rFonts w:ascii="仿宋" w:hAnsi="仿宋" w:eastAsia="仿宋"/>
          <w:sz w:val="28"/>
          <w:szCs w:val="28"/>
        </w:rPr>
      </w:pPr>
      <w:r>
        <w:rPr>
          <w:rFonts w:hint="eastAsia" w:ascii="仿宋" w:hAnsi="仿宋" w:eastAsia="仿宋"/>
          <w:sz w:val="28"/>
          <w:szCs w:val="28"/>
        </w:rPr>
        <w:t>二零二</w:t>
      </w:r>
      <w:r>
        <w:rPr>
          <w:rFonts w:hint="eastAsia" w:ascii="仿宋" w:hAnsi="仿宋" w:eastAsia="仿宋"/>
          <w:sz w:val="28"/>
          <w:szCs w:val="28"/>
          <w:lang w:val="en-US" w:eastAsia="zh-CN"/>
        </w:rPr>
        <w:t>五</w:t>
      </w:r>
      <w:r>
        <w:rPr>
          <w:rFonts w:hint="eastAsia" w:ascii="仿宋" w:hAnsi="仿宋" w:eastAsia="仿宋"/>
          <w:sz w:val="28"/>
          <w:szCs w:val="28"/>
        </w:rPr>
        <w:t>年</w:t>
      </w:r>
      <w:r>
        <w:rPr>
          <w:rFonts w:hint="eastAsia" w:ascii="仿宋" w:hAnsi="仿宋" w:eastAsia="仿宋"/>
          <w:sz w:val="28"/>
          <w:szCs w:val="28"/>
          <w:lang w:val="en-US" w:eastAsia="zh-CN"/>
        </w:rPr>
        <w:t>一</w:t>
      </w:r>
      <w:r>
        <w:rPr>
          <w:rFonts w:hint="eastAsia" w:ascii="仿宋" w:hAnsi="仿宋" w:eastAsia="仿宋"/>
          <w:sz w:val="28"/>
          <w:szCs w:val="28"/>
        </w:rPr>
        <w:t>月二十</w:t>
      </w:r>
      <w:r>
        <w:rPr>
          <w:rFonts w:hint="eastAsia" w:ascii="仿宋" w:hAnsi="仿宋" w:eastAsia="仿宋"/>
          <w:sz w:val="28"/>
          <w:szCs w:val="28"/>
          <w:lang w:val="en-US" w:eastAsia="zh-CN"/>
        </w:rPr>
        <w:t>三</w:t>
      </w:r>
      <w:r>
        <w:rPr>
          <w:rFonts w:hint="eastAsia" w:ascii="仿宋" w:hAnsi="仿宋" w:eastAsia="仿宋"/>
          <w:sz w:val="28"/>
          <w:szCs w:val="28"/>
        </w:rPr>
        <w:t>日</w:t>
      </w:r>
    </w:p>
    <w:p w14:paraId="6B79BBEC">
      <w:pPr>
        <w:spacing w:line="360" w:lineRule="auto"/>
        <w:ind w:firstLine="4935" w:firstLineChars="2350"/>
        <w:jc w:val="center"/>
        <w:rPr>
          <w:rFonts w:ascii="微软雅黑" w:hAnsi="微软雅黑" w:eastAsia="微软雅黑" w:cs="微软雅黑"/>
          <w:kern w:val="0"/>
          <w:sz w:val="24"/>
          <w:szCs w:val="24"/>
        </w:rPr>
      </w:pPr>
      <w:r>
        <mc:AlternateContent>
          <mc:Choice Requires="wps">
            <w:drawing>
              <wp:anchor distT="0" distB="0" distL="114300" distR="114300" simplePos="0" relativeHeight="251662336" behindDoc="0" locked="0" layoutInCell="1" allowOverlap="1">
                <wp:simplePos x="0" y="0"/>
                <wp:positionH relativeFrom="column">
                  <wp:posOffset>-19685</wp:posOffset>
                </wp:positionH>
                <wp:positionV relativeFrom="paragraph">
                  <wp:posOffset>387350</wp:posOffset>
                </wp:positionV>
                <wp:extent cx="5943600" cy="0"/>
                <wp:effectExtent l="0" t="0" r="19050" b="1905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000000"/>
                          </a:solidFill>
                          <a:round/>
                        </a:ln>
                      </wps:spPr>
                      <wps:bodyPr/>
                    </wps:wsp>
                  </a:graphicData>
                </a:graphic>
              </wp:anchor>
            </w:drawing>
          </mc:Choice>
          <mc:Fallback>
            <w:pict>
              <v:line id="_x0000_s1026" o:spid="_x0000_s1026" o:spt="20" style="position:absolute;left:0pt;margin-left:-1.55pt;margin-top:30.5pt;height:0pt;width:468pt;z-index:251662336;mso-width-relative:page;mso-height-relative:page;" filled="f" stroked="t" coordsize="21600,21600" o:gfxdata="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ZBah3XAAAA&#10;CAEAAA8AAAAAAAAAAQAgAAAAIgAAAGRycy9kb3ducmV2LnhtbFBLAQIUABQAAAAIAIdO4kCkBktc&#10;5QEAAK0DAAAOAAAAAAAAAAEAIAAAACYBAABkcnMvZTJvRG9jLnhtbFBLBQYAAAAABgAGAFkBAAB9&#10;BQAAAAA=&#10;">
                <v:fill on="f" focussize="0,0"/>
                <v:stroke weight="1.25pt" color="#000000" joinstyle="round"/>
                <v:imagedata o:title=""/>
                <o:lock v:ext="edit" aspectratio="f"/>
              </v:line>
            </w:pict>
          </mc:Fallback>
        </mc:AlternateContent>
      </w:r>
    </w:p>
    <w:p w14:paraId="3E2B0A9E">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1312" behindDoc="0" locked="0" layoutInCell="1" allowOverlap="1">
                <wp:simplePos x="0" y="0"/>
                <wp:positionH relativeFrom="column">
                  <wp:posOffset>-19685</wp:posOffset>
                </wp:positionH>
                <wp:positionV relativeFrom="paragraph">
                  <wp:posOffset>395605</wp:posOffset>
                </wp:positionV>
                <wp:extent cx="5943600" cy="0"/>
                <wp:effectExtent l="0" t="0" r="19050" b="1905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000000"/>
                          </a:solidFill>
                          <a:round/>
                        </a:ln>
                      </wps:spPr>
                      <wps:bodyPr/>
                    </wps:wsp>
                  </a:graphicData>
                </a:graphic>
              </wp:anchor>
            </w:drawing>
          </mc:Choice>
          <mc:Fallback>
            <w:pict>
              <v:line id="_x0000_s1026" o:spid="_x0000_s1026" o:spt="20" style="position:absolute;left:0pt;margin-left:-1.55pt;margin-top:31.15pt;height:0pt;width:468pt;z-index:251661312;mso-width-relative:page;mso-height-relative:page;" filled="f" stroked="t" coordsize="21600,21600" o:gfxdata="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vOFC/XAAAA&#10;CAEAAA8AAAAAAAAAAQAgAAAAIgAAAGRycy9kb3ducmV2LnhtbFBLAQIUABQAAAAIAIdO4kCweRuh&#10;5QEAAKsDAAAOAAAAAAAAAAEAIAAAACYBAABkcnMvZTJvRG9jLnhtbFBLBQYAAAAABgAGAFkBAAB9&#10;BQAAAAA=&#10;">
                <v:fill on="f" focussize="0,0"/>
                <v:stroke weight="1.25pt" color="#000000" joinstyle="round"/>
                <v:imagedata o:title=""/>
                <o:lock v:ext="edit" aspectratio="f"/>
              </v:line>
            </w:pict>
          </mc:Fallback>
        </mc:AlternateContent>
      </w:r>
      <w:r>
        <w:rPr>
          <w:rFonts w:hint="eastAsia" w:ascii="仿宋" w:hAnsi="仿宋" w:eastAsia="仿宋"/>
          <w:sz w:val="28"/>
          <w:szCs w:val="28"/>
        </w:rPr>
        <w:t>呈报：</w:t>
      </w:r>
    </w:p>
    <w:p w14:paraId="267921A8">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0288" behindDoc="0" locked="0" layoutInCell="1" allowOverlap="1">
                <wp:simplePos x="0" y="0"/>
                <wp:positionH relativeFrom="column">
                  <wp:posOffset>-35560</wp:posOffset>
                </wp:positionH>
                <wp:positionV relativeFrom="paragraph">
                  <wp:posOffset>387350</wp:posOffset>
                </wp:positionV>
                <wp:extent cx="5943600" cy="0"/>
                <wp:effectExtent l="0" t="0" r="19050" b="1905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000000"/>
                          </a:solidFill>
                          <a:round/>
                        </a:ln>
                      </wps:spPr>
                      <wps:bodyPr/>
                    </wps:wsp>
                  </a:graphicData>
                </a:graphic>
              </wp:anchor>
            </w:drawing>
          </mc:Choice>
          <mc:Fallback>
            <w:pict>
              <v:line id="_x0000_s1026" o:spid="_x0000_s1026" o:spt="20" style="position:absolute;left:0pt;margin-left:-2.8pt;margin-top:30.5pt;height:0pt;width:468pt;z-index:251660288;mso-width-relative:page;mso-height-relative:page;" filled="f" stroked="t" coordsize="21600,21600" o:gfxdata="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GSQB62AAA&#10;AAgBAAAPAAAAAAAAAAEAIAAAACIAAABkcnMvZG93bnJldi54bWxQSwECFAAUAAAACACHTuJATXfC&#10;aOUBAACrAwAADgAAAAAAAAABACAAAAAnAQAAZHJzL2Uyb0RvYy54bWxQSwUGAAAAAAYABgBZAQAA&#10;fgUAAAAA&#10;">
                <v:fill on="f" focussize="0,0"/>
                <v:stroke weight="1.25pt" color="#000000" joinstyle="round"/>
                <v:imagedata o:title=""/>
                <o:lock v:ext="edit" aspectratio="f"/>
              </v:line>
            </w:pict>
          </mc:Fallback>
        </mc:AlternateContent>
      </w:r>
      <w:r>
        <w:rPr>
          <w:rFonts w:hint="eastAsia" w:ascii="仿宋" w:hAnsi="仿宋" w:eastAsia="仿宋"/>
          <w:sz w:val="28"/>
          <w:szCs w:val="28"/>
        </w:rPr>
        <w:t>主送：</w:t>
      </w:r>
    </w:p>
    <w:p w14:paraId="19D248B3">
      <w:pPr>
        <w:jc w:val="left"/>
        <w:rPr>
          <w:rFonts w:hint="eastAsia" w:ascii="仿宋" w:hAnsi="仿宋" w:eastAsia="仿宋"/>
          <w:sz w:val="28"/>
          <w:szCs w:val="28"/>
          <w:lang w:val="en-US" w:eastAsia="zh-CN"/>
        </w:rPr>
      </w:pPr>
      <w:r>
        <w:rPr>
          <w:rFonts w:hint="eastAsia" w:ascii="仿宋" w:hAnsi="仿宋" w:eastAsia="仿宋"/>
          <w:sz w:val="28"/>
          <w:szCs w:val="28"/>
        </w:rPr>
        <w:t>撰稿：</w:t>
      </w:r>
      <w:r>
        <w:rPr>
          <w:rFonts w:hint="eastAsia" w:ascii="仿宋" w:hAnsi="仿宋" w:eastAsia="仿宋"/>
          <w:sz w:val="28"/>
          <w:szCs w:val="28"/>
          <w:lang w:val="en-US" w:eastAsia="zh-CN"/>
        </w:rPr>
        <w:t xml:space="preserve"> 林振敏               </w:t>
      </w:r>
      <w:r>
        <w:rPr>
          <w:rFonts w:ascii="仿宋" w:hAnsi="仿宋" w:eastAsia="仿宋"/>
          <w:sz w:val="28"/>
          <w:szCs w:val="28"/>
        </w:rPr>
        <w:t xml:space="preserve">                   </w:t>
      </w:r>
      <w:r>
        <w:rPr>
          <w:rFonts w:hint="eastAsia" w:ascii="仿宋" w:hAnsi="仿宋" w:eastAsia="仿宋"/>
          <w:sz w:val="28"/>
          <w:szCs w:val="28"/>
        </w:rPr>
        <w:t>审核：</w:t>
      </w:r>
      <w:r>
        <w:rPr>
          <w:rFonts w:hint="eastAsia" w:ascii="仿宋" w:hAnsi="仿宋" w:eastAsia="仿宋"/>
          <w:sz w:val="28"/>
          <w:szCs w:val="28"/>
          <w:lang w:val="en-US" w:eastAsia="zh-CN"/>
        </w:rPr>
        <w:t>黄名辰</w:t>
      </w: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行楷">
    <w:altName w:val="Arial Unicode MS"/>
    <w:panose1 w:val="0201080004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7FFAEFF" w:usb1="F9DFFFFF" w:usb2="0000007F" w:usb3="00000000" w:csb0="203F01FF" w:csb1="D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63AF">
    <w:pPr>
      <w:pStyle w:val="5"/>
      <w:pBdr>
        <w:bottom w:val="single" w:color="auto" w:sz="6" w:space="25"/>
      </w:pBdr>
    </w:pPr>
    <w:r>
      <w:drawing>
        <wp:anchor distT="0" distB="0" distL="114300" distR="114300" simplePos="0" relativeHeight="251661312" behindDoc="0" locked="0" layoutInCell="1" allowOverlap="1">
          <wp:simplePos x="0" y="0"/>
          <wp:positionH relativeFrom="column">
            <wp:posOffset>-24130</wp:posOffset>
          </wp:positionH>
          <wp:positionV relativeFrom="paragraph">
            <wp:posOffset>-172085</wp:posOffset>
          </wp:positionV>
          <wp:extent cx="1463675" cy="582295"/>
          <wp:effectExtent l="0" t="0" r="3175" b="0"/>
          <wp:wrapNone/>
          <wp:docPr id="5" name="图片 5" descr="E:\绿城\常用品牌资料\绿城中国LOGO\绿城中国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绿城\常用品牌资料\绿城中国LOGO\绿城中国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63675" cy="582295"/>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302260</wp:posOffset>
              </wp:positionV>
              <wp:extent cx="4519295" cy="0"/>
              <wp:effectExtent l="0" t="0" r="14605" b="1905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flipV="1">
                        <a:off x="0" y="0"/>
                        <a:ext cx="4519295" cy="0"/>
                      </a:xfrm>
                      <a:prstGeom prst="line">
                        <a:avLst/>
                      </a:prstGeom>
                      <a:noFill/>
                      <a:ln w="15875">
                        <a:solidFill>
                          <a:srgbClr val="008000"/>
                        </a:solidFill>
                        <a:round/>
                      </a:ln>
                    </wps:spPr>
                    <wps:bodyPr/>
                  </wps:wsp>
                </a:graphicData>
              </a:graphic>
            </wp:anchor>
          </w:drawing>
        </mc:Choice>
        <mc:Fallback>
          <w:pict>
            <v:line id="_x0000_s1026" o:spid="_x0000_s1026" o:spt="20" style="position:absolute;left:0pt;flip:y;margin-left:125.75pt;margin-top:23.8pt;height:0pt;width:355.85pt;z-index:251660288;mso-width-relative:page;mso-height-relative:page;" filled="f" stroked="t" coordsize="21600,21600" o:gfxdata="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4R&#10;VV7VAAAACQEAAA8AAAAAAAAAAQAgAAAAIgAAAGRycy9kb3ducmV2LnhtbFBLAQIUABQAAAAIAIdO&#10;4kAfKYBU7QEAALUDAAAOAAAAAAAAAAEAIAAAACQBAABkcnMvZTJvRG9jLnhtbFBLBQYAAAAABgAG&#10;AFkBAACDBQAAAAA=&#10;">
              <v:fill on="f" focussize="0,0"/>
              <v:stroke weight="1.25pt" color="#008000" joinstyle="round"/>
              <v:imagedata o:title=""/>
              <o:lock v:ext="edit" aspectratio="f"/>
            </v:line>
          </w:pict>
        </mc:Fallback>
      </mc:AlternateContent>
    </w:r>
    <w:r>
      <mc:AlternateContent>
        <mc:Choice Requires="wps">
          <w:drawing>
            <wp:anchor distT="45720" distB="45720" distL="114300" distR="114300" simplePos="0" relativeHeight="251659264" behindDoc="0" locked="0" layoutInCell="1" allowOverlap="1">
              <wp:simplePos x="0" y="0"/>
              <wp:positionH relativeFrom="page">
                <wp:posOffset>3948430</wp:posOffset>
              </wp:positionH>
              <wp:positionV relativeFrom="paragraph">
                <wp:posOffset>-111125</wp:posOffset>
              </wp:positionV>
              <wp:extent cx="3007360" cy="390525"/>
              <wp:effectExtent l="0" t="0" r="2540" b="9525"/>
              <wp:wrapSquare wrapText="bothSides"/>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07360" cy="390525"/>
                      </a:xfrm>
                      <a:prstGeom prst="rect">
                        <a:avLst/>
                      </a:prstGeom>
                      <a:solidFill>
                        <a:srgbClr val="FFFFFF"/>
                      </a:solidFill>
                      <a:ln w="9525">
                        <a:noFill/>
                        <a:miter lim="800000"/>
                      </a:ln>
                      <a:effectLst/>
                    </wps:spPr>
                    <wps:txbx>
                      <w:txbxContent>
                        <w:p w14:paraId="0F0D090A">
                          <w:pPr>
                            <w:rPr>
                              <w:rFonts w:ascii="华文行楷" w:hAnsi="微软雅黑" w:eastAsia="华文行楷"/>
                              <w:color w:val="007440"/>
                              <w:sz w:val="40"/>
                              <w:szCs w:val="36"/>
                            </w:rPr>
                          </w:pPr>
                          <w:r>
                            <w:rPr>
                              <w:rFonts w:hint="eastAsia" w:ascii="华文行楷" w:hAnsi="微软雅黑" w:eastAsia="华文行楷"/>
                              <w:color w:val="007440"/>
                              <w:sz w:val="40"/>
                              <w:szCs w:val="36"/>
                            </w:rPr>
                            <w:t>真诚·善意·精致·完美</w:t>
                          </w:r>
                        </w:p>
                        <w:p w14:paraId="1095587E">
                          <w:pPr>
                            <w:rPr>
                              <w:rFonts w:ascii="华文行楷" w:hAnsi="微软雅黑" w:eastAsia="华文行楷"/>
                              <w:color w:val="006600"/>
                              <w:sz w:val="36"/>
                              <w:szCs w:val="32"/>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10.9pt;margin-top:-8.75pt;height:30.75pt;width:236.8pt;mso-position-horizontal-relative:page;mso-wrap-distance-bottom:3.6pt;mso-wrap-distance-left:9pt;mso-wrap-distance-right:9pt;mso-wrap-distance-top:3.6pt;z-index:251659264;mso-width-relative:page;mso-height-relative:page;" fillcolor="#FFFFFF" filled="t" stroked="f" coordsize="21600,21600" o:gfxdata="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&#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c1+12QAAAAsBAAAPAAAAAAAAAAEAIAAAACIAAABk&#10;cnMvZG93bnJldi54bWxQSwECFAAUAAAACACHTuJAviOe+z4CAABgBAAADgAAAAAAAAABACAAAAAo&#10;AQAAZHJzL2Uyb0RvYy54bWxQSwUGAAAAAAYABgBZAQAA2AUAAAAA&#10;">
              <v:fill on="t" focussize="0,0"/>
              <v:stroke on="f" miterlimit="8" joinstyle="miter"/>
              <v:imagedata o:title=""/>
              <o:lock v:ext="edit" aspectratio="f"/>
              <v:textbox>
                <w:txbxContent>
                  <w:p w14:paraId="0F0D090A">
                    <w:pPr>
                      <w:rPr>
                        <w:rFonts w:ascii="华文行楷" w:hAnsi="微软雅黑" w:eastAsia="华文行楷"/>
                        <w:color w:val="007440"/>
                        <w:sz w:val="40"/>
                        <w:szCs w:val="36"/>
                      </w:rPr>
                    </w:pPr>
                    <w:r>
                      <w:rPr>
                        <w:rFonts w:hint="eastAsia" w:ascii="华文行楷" w:hAnsi="微软雅黑" w:eastAsia="华文行楷"/>
                        <w:color w:val="007440"/>
                        <w:sz w:val="40"/>
                        <w:szCs w:val="36"/>
                      </w:rPr>
                      <w:t>真诚·善意·精致·完美</w:t>
                    </w:r>
                  </w:p>
                  <w:p w14:paraId="1095587E">
                    <w:pPr>
                      <w:rPr>
                        <w:rFonts w:ascii="华文行楷" w:hAnsi="微软雅黑" w:eastAsia="华文行楷"/>
                        <w:color w:val="006600"/>
                        <w:sz w:val="36"/>
                        <w:szCs w:val="32"/>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0238A"/>
    <w:multiLevelType w:val="singleLevel"/>
    <w:tmpl w:val="0240238A"/>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E0MmFhNjc4Yjg5ZTk0OTY4YTJmNDM0N2I2M2Y5OTIifQ=="/>
  </w:docVars>
  <w:rsids>
    <w:rsidRoot w:val="006A52B3"/>
    <w:rsid w:val="00011F81"/>
    <w:rsid w:val="000508C7"/>
    <w:rsid w:val="00054713"/>
    <w:rsid w:val="00061F35"/>
    <w:rsid w:val="00072C0F"/>
    <w:rsid w:val="00085EE9"/>
    <w:rsid w:val="000D0F3E"/>
    <w:rsid w:val="000E6D97"/>
    <w:rsid w:val="000F519E"/>
    <w:rsid w:val="00100D51"/>
    <w:rsid w:val="00157115"/>
    <w:rsid w:val="00184214"/>
    <w:rsid w:val="001D762E"/>
    <w:rsid w:val="0023774E"/>
    <w:rsid w:val="0025280D"/>
    <w:rsid w:val="0025411B"/>
    <w:rsid w:val="00265A9B"/>
    <w:rsid w:val="00287E1B"/>
    <w:rsid w:val="002B4C39"/>
    <w:rsid w:val="002D1794"/>
    <w:rsid w:val="00324578"/>
    <w:rsid w:val="00342B25"/>
    <w:rsid w:val="0034570C"/>
    <w:rsid w:val="00364C7D"/>
    <w:rsid w:val="00391E9C"/>
    <w:rsid w:val="003C7710"/>
    <w:rsid w:val="003D5618"/>
    <w:rsid w:val="003E60DD"/>
    <w:rsid w:val="00426F99"/>
    <w:rsid w:val="00433871"/>
    <w:rsid w:val="00440F0F"/>
    <w:rsid w:val="004641CF"/>
    <w:rsid w:val="0048419D"/>
    <w:rsid w:val="0048575D"/>
    <w:rsid w:val="00485A94"/>
    <w:rsid w:val="00497C85"/>
    <w:rsid w:val="004A2161"/>
    <w:rsid w:val="004A7DDC"/>
    <w:rsid w:val="004C7E17"/>
    <w:rsid w:val="004D6C60"/>
    <w:rsid w:val="005420F1"/>
    <w:rsid w:val="00577796"/>
    <w:rsid w:val="00586A74"/>
    <w:rsid w:val="00596198"/>
    <w:rsid w:val="005A4844"/>
    <w:rsid w:val="005A4EBD"/>
    <w:rsid w:val="00613921"/>
    <w:rsid w:val="00632659"/>
    <w:rsid w:val="0063582B"/>
    <w:rsid w:val="00662CAE"/>
    <w:rsid w:val="006634CF"/>
    <w:rsid w:val="0066640F"/>
    <w:rsid w:val="00670402"/>
    <w:rsid w:val="006A52B3"/>
    <w:rsid w:val="006C54A0"/>
    <w:rsid w:val="006F6AF7"/>
    <w:rsid w:val="00710344"/>
    <w:rsid w:val="007214DA"/>
    <w:rsid w:val="00721F41"/>
    <w:rsid w:val="00722139"/>
    <w:rsid w:val="0074399C"/>
    <w:rsid w:val="00771797"/>
    <w:rsid w:val="00784623"/>
    <w:rsid w:val="007B6B9B"/>
    <w:rsid w:val="007C7E2F"/>
    <w:rsid w:val="008059C0"/>
    <w:rsid w:val="00822602"/>
    <w:rsid w:val="00867A8A"/>
    <w:rsid w:val="00890949"/>
    <w:rsid w:val="008A07A9"/>
    <w:rsid w:val="008D0C8E"/>
    <w:rsid w:val="008E18BE"/>
    <w:rsid w:val="00933EC7"/>
    <w:rsid w:val="00937EEE"/>
    <w:rsid w:val="009939C7"/>
    <w:rsid w:val="009A6615"/>
    <w:rsid w:val="009C04E1"/>
    <w:rsid w:val="00A12799"/>
    <w:rsid w:val="00A1604B"/>
    <w:rsid w:val="00A43D12"/>
    <w:rsid w:val="00A4481E"/>
    <w:rsid w:val="00A61B6A"/>
    <w:rsid w:val="00A70A54"/>
    <w:rsid w:val="00A73DD8"/>
    <w:rsid w:val="00A874DF"/>
    <w:rsid w:val="00AD0FC6"/>
    <w:rsid w:val="00AF7AA0"/>
    <w:rsid w:val="00B0458A"/>
    <w:rsid w:val="00B20CFC"/>
    <w:rsid w:val="00B41253"/>
    <w:rsid w:val="00B84733"/>
    <w:rsid w:val="00B9409F"/>
    <w:rsid w:val="00B94517"/>
    <w:rsid w:val="00C040F8"/>
    <w:rsid w:val="00C05E80"/>
    <w:rsid w:val="00C300BA"/>
    <w:rsid w:val="00C34D83"/>
    <w:rsid w:val="00C44D0B"/>
    <w:rsid w:val="00C45314"/>
    <w:rsid w:val="00C71F1D"/>
    <w:rsid w:val="00C741E3"/>
    <w:rsid w:val="00C800F6"/>
    <w:rsid w:val="00CD1427"/>
    <w:rsid w:val="00CD4BAE"/>
    <w:rsid w:val="00CE195A"/>
    <w:rsid w:val="00CE2EFE"/>
    <w:rsid w:val="00CF1B1E"/>
    <w:rsid w:val="00D104FE"/>
    <w:rsid w:val="00D544EA"/>
    <w:rsid w:val="00D83C5E"/>
    <w:rsid w:val="00DB5AA2"/>
    <w:rsid w:val="00DB63C2"/>
    <w:rsid w:val="00DC3BD3"/>
    <w:rsid w:val="00DF1A87"/>
    <w:rsid w:val="00E3184F"/>
    <w:rsid w:val="00EF5F8F"/>
    <w:rsid w:val="00F244AA"/>
    <w:rsid w:val="00F3257A"/>
    <w:rsid w:val="00F6041D"/>
    <w:rsid w:val="00F62EFA"/>
    <w:rsid w:val="00F636DA"/>
    <w:rsid w:val="00F87457"/>
    <w:rsid w:val="00FB14AB"/>
    <w:rsid w:val="00FE0616"/>
    <w:rsid w:val="00FE24DC"/>
    <w:rsid w:val="01D867ED"/>
    <w:rsid w:val="028B2044"/>
    <w:rsid w:val="02982687"/>
    <w:rsid w:val="0875556E"/>
    <w:rsid w:val="0A1977EC"/>
    <w:rsid w:val="0EC87A33"/>
    <w:rsid w:val="10182AC3"/>
    <w:rsid w:val="10262C63"/>
    <w:rsid w:val="1BA4204D"/>
    <w:rsid w:val="1CE123EB"/>
    <w:rsid w:val="1EB56231"/>
    <w:rsid w:val="22615F0B"/>
    <w:rsid w:val="23430F37"/>
    <w:rsid w:val="2766072B"/>
    <w:rsid w:val="27801D85"/>
    <w:rsid w:val="2D3E6C6D"/>
    <w:rsid w:val="33B43FC1"/>
    <w:rsid w:val="351168D7"/>
    <w:rsid w:val="36053407"/>
    <w:rsid w:val="37435900"/>
    <w:rsid w:val="3C774BAF"/>
    <w:rsid w:val="415D5C35"/>
    <w:rsid w:val="45407DAF"/>
    <w:rsid w:val="4AF40FA1"/>
    <w:rsid w:val="4DFB1A7F"/>
    <w:rsid w:val="5E0A6ADA"/>
    <w:rsid w:val="5F55767A"/>
    <w:rsid w:val="61105458"/>
    <w:rsid w:val="63994F5A"/>
    <w:rsid w:val="65906AC9"/>
    <w:rsid w:val="6673009A"/>
    <w:rsid w:val="674D2685"/>
    <w:rsid w:val="677D3F37"/>
    <w:rsid w:val="6DDD4579"/>
    <w:rsid w:val="6EB570B3"/>
    <w:rsid w:val="6ED943C8"/>
    <w:rsid w:val="6F633C29"/>
    <w:rsid w:val="6F9C3B9A"/>
    <w:rsid w:val="73457D92"/>
    <w:rsid w:val="77B0477D"/>
    <w:rsid w:val="7C1F133B"/>
    <w:rsid w:val="7CD65AAE"/>
    <w:rsid w:val="7FB921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3"/>
    <w:semiHidden/>
    <w:unhideWhenUsed/>
    <w:qFormat/>
    <w:uiPriority w:val="99"/>
    <w:pPr>
      <w:ind w:left="100" w:leftChars="2500"/>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List Paragraph"/>
    <w:basedOn w:val="1"/>
    <w:qFormat/>
    <w:uiPriority w:val="34"/>
    <w:pPr>
      <w:ind w:firstLine="420" w:firstLineChars="200"/>
    </w:p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semiHidden/>
    <w:qFormat/>
    <w:uiPriority w:val="99"/>
    <w:rPr>
      <w:sz w:val="18"/>
      <w:szCs w:val="18"/>
    </w:rPr>
  </w:style>
  <w:style w:type="character" w:customStyle="1" w:styleId="13">
    <w:name w:val="日期 字符"/>
    <w:basedOn w:val="8"/>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848</Words>
  <Characters>909</Characters>
  <Lines>2</Lines>
  <Paragraphs>1</Paragraphs>
  <TotalTime>29</TotalTime>
  <ScaleCrop>false</ScaleCrop>
  <LinksUpToDate>false</LinksUpToDate>
  <CharactersWithSpaces>958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2024-06-21T03:16:00Z</dcterms:created>
  <dc:creator>Admin</dc:creator>
  <cp:lastModifiedBy>李雨泽</cp:lastModifiedBy>
  <cp:lastPrinted>2021-06-17T12:18:00Z</cp:lastPrinted>
  <dcterms:modified xsi:type="dcterms:W3CDTF">2025-04-24T11:57:59Z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9947C3726D764D5095E0366553F8C6F7_13</vt:lpwstr>
  </property>
  <property fmtid="{D5CDD505-2E9C-101B-9397-08002B2CF9AE}" pid="4" name="KSOTemplateDocerSaveRecord">
    <vt:lpwstr>eyJoZGlkIjoiNDU2ZDlkNDhmZTk5ZGU5ZTgwNjIxNGVkNGE5ZDdkNmMiLCJ1c2VySWQiOiI5MTY1OTM5NzkifQ==</vt:lpwstr>
  </property>
</Properties>
</file>